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8E" w:rsidRDefault="00EE2741" w:rsidP="00EE2741">
      <w:pPr>
        <w:jc w:val="center"/>
      </w:pPr>
      <w:bookmarkStart w:id="0" w:name="_GoBack"/>
      <w:bookmarkEnd w:id="0"/>
      <w:r>
        <w:rPr>
          <w:rFonts w:hint="eastAsia"/>
        </w:rPr>
        <w:t>106</w:t>
      </w:r>
      <w:r>
        <w:rPr>
          <w:rFonts w:hint="eastAsia"/>
        </w:rPr>
        <w:t>學年入學中文組課程</w:t>
      </w:r>
    </w:p>
    <w:tbl>
      <w:tblPr>
        <w:tblW w:w="14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EE2741" w:rsidRPr="00AA55A2" w:rsidTr="005E530D">
        <w:trPr>
          <w:trHeight w:val="446"/>
        </w:trPr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必</w:t>
            </w:r>
            <w:r w:rsidRPr="00AA55A2">
              <w:rPr>
                <w:rFonts w:ascii="標楷體" w:eastAsia="標楷體" w:hAnsi="標楷體"/>
                <w:b/>
                <w:bCs/>
                <w:sz w:val="18"/>
                <w:szCs w:val="18"/>
              </w:rPr>
              <w:t>/</w:t>
            </w: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選修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一</w:t>
            </w:r>
            <w:proofErr w:type="gramEnd"/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上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一下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二上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二下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三上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三下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四上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四下</w:t>
            </w:r>
          </w:p>
        </w:tc>
        <w:tc>
          <w:tcPr>
            <w:tcW w:w="1304" w:type="dxa"/>
            <w:tcBorders>
              <w:bottom w:val="single" w:sz="18" w:space="0" w:color="4F81BD"/>
            </w:tcBorders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備註</w:t>
            </w:r>
          </w:p>
        </w:tc>
      </w:tr>
      <w:tr w:rsidR="00EE2741" w:rsidRPr="00AA55A2" w:rsidTr="005E530D">
        <w:trPr>
          <w:trHeight w:val="1468"/>
        </w:trPr>
        <w:tc>
          <w:tcPr>
            <w:tcW w:w="1304" w:type="dxa"/>
            <w:vMerge w:val="restart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中文組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必修34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國學導讀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語言學概論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 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初級日語</w:t>
            </w: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文學概論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文字學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初級日語二/2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中國文學史</w:t>
            </w: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詩選及習作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初級日語三/2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中國文學史二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聲韻學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初級日語四/2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中國思想史</w:t>
            </w: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歷代文</w:t>
            </w: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選及習作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中國思想史二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詞曲選及習作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訓詁學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E2741" w:rsidRPr="00AA55A2" w:rsidTr="005E530D">
        <w:trPr>
          <w:trHeight w:val="1282"/>
        </w:trPr>
        <w:tc>
          <w:tcPr>
            <w:tcW w:w="1304" w:type="dxa"/>
            <w:vMerge/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選修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 xml:space="preserve">- 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學術中文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古典小說選讀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史記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論孟</w:t>
            </w:r>
            <w:proofErr w:type="gramEnd"/>
            <w:r w:rsidRPr="00AA55A2">
              <w:rPr>
                <w:rFonts w:ascii="標楷體" w:eastAsia="標楷體" w:hAnsi="標楷體"/>
                <w:sz w:val="18"/>
                <w:szCs w:val="18"/>
              </w:rPr>
              <w:t xml:space="preserve">/2 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語音學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詩經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學庸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台灣文學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cs="標楷體" w:hint="eastAsia"/>
                <w:sz w:val="18"/>
                <w:szCs w:val="18"/>
              </w:rPr>
              <w:t>韓非子</w:t>
            </w:r>
            <w:r w:rsidRPr="00AA55A2">
              <w:rPr>
                <w:rFonts w:ascii="標楷體" w:eastAsia="標楷體" w:hAnsi="標楷體" w:cs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字樣學</w:t>
            </w:r>
            <w:r w:rsidRPr="00AA55A2">
              <w:rPr>
                <w:rFonts w:ascii="標楷體" w:eastAsia="標楷體" w:hAnsi="標楷體" w:cs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李杜詩</w:t>
            </w:r>
            <w:proofErr w:type="gramEnd"/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荀子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左傳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歐蘇文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周易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禮記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中國文學史三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古文字學導論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紅樓夢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世說新語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古典戲曲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老子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中國思想史三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古典詞曲鑑賞</w:t>
            </w:r>
            <w:r w:rsidRPr="00AA55A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莊子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語義學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1304" w:type="dxa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E2741" w:rsidRPr="00AA55A2" w:rsidTr="005E530D">
        <w:trPr>
          <w:trHeight w:val="2923"/>
        </w:trPr>
        <w:tc>
          <w:tcPr>
            <w:tcW w:w="1304" w:type="dxa"/>
            <w:vMerge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選修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 xml:space="preserve">- 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應用中文</w:t>
            </w:r>
          </w:p>
        </w:tc>
        <w:tc>
          <w:tcPr>
            <w:tcW w:w="2608" w:type="dxa"/>
            <w:gridSpan w:val="2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現代散文選及習作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圖書資料管理與應用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文獻資料管理與應用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現代小說選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舞台表演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2608" w:type="dxa"/>
            <w:gridSpan w:val="2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現代戲劇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現代詩選及習作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cs="標楷體" w:hint="eastAsia"/>
                <w:sz w:val="18"/>
                <w:szCs w:val="18"/>
              </w:rPr>
              <w:t>演說與辯論</w:t>
            </w:r>
            <w:r w:rsidRPr="00AA55A2">
              <w:rPr>
                <w:rFonts w:ascii="標楷體" w:eastAsia="標楷體" w:hAnsi="標楷體" w:cs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語法學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cs="標楷體" w:hint="eastAsia"/>
                <w:sz w:val="18"/>
                <w:szCs w:val="18"/>
              </w:rPr>
              <w:t>編輯採訪實務</w:t>
            </w:r>
            <w:r w:rsidRPr="00AA55A2">
              <w:rPr>
                <w:rFonts w:ascii="標楷體" w:eastAsia="標楷體" w:hAnsi="標楷體" w:cs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華語教學導論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2608" w:type="dxa"/>
            <w:gridSpan w:val="2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修辭學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詞彙學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劇本寫作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華語教材教法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華語教學實務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華語多媒體與電腦輔助教學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創意寫作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2608" w:type="dxa"/>
            <w:gridSpan w:val="2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應用文及習作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cs="標楷體" w:hint="eastAsia"/>
                <w:sz w:val="18"/>
                <w:szCs w:val="18"/>
              </w:rPr>
              <w:t>第二語言習得</w:t>
            </w:r>
            <w:r w:rsidRPr="00AA55A2">
              <w:rPr>
                <w:rFonts w:ascii="標楷體" w:eastAsia="標楷體" w:hAnsi="標楷體" w:cs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 w:cs="Arial"/>
                <w:bCs/>
                <w:kern w:val="24"/>
                <w:sz w:val="18"/>
                <w:szCs w:val="18"/>
              </w:rPr>
            </w:pPr>
            <w:r w:rsidRPr="00AA55A2">
              <w:rPr>
                <w:rFonts w:ascii="標楷體" w:eastAsia="標楷體" w:hAnsi="標楷體" w:cs="Arial" w:hint="eastAsia"/>
                <w:bCs/>
                <w:kern w:val="24"/>
                <w:sz w:val="18"/>
                <w:szCs w:val="18"/>
              </w:rPr>
              <w:t>華語教學實習</w:t>
            </w:r>
            <w:r w:rsidRPr="00AA55A2">
              <w:rPr>
                <w:rFonts w:ascii="標楷體" w:eastAsia="標楷體" w:hAnsi="標楷體" w:cs="Arial"/>
                <w:bCs/>
                <w:kern w:val="24"/>
                <w:sz w:val="18"/>
                <w:szCs w:val="18"/>
              </w:rPr>
              <w:t>/1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文學批評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專題寫作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企劃與文案寫作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1304" w:type="dxa"/>
            <w:shd w:val="clear" w:color="auto" w:fill="D3DFEE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E2741" w:rsidRPr="00AA55A2" w:rsidTr="005E530D">
        <w:trPr>
          <w:trHeight w:val="1965"/>
        </w:trPr>
        <w:tc>
          <w:tcPr>
            <w:tcW w:w="1304" w:type="dxa"/>
            <w:vMerge/>
          </w:tcPr>
          <w:p w:rsidR="00EE2741" w:rsidRPr="00AA55A2" w:rsidRDefault="00EE2741" w:rsidP="005E530D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選修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 xml:space="preserve">- 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文化實務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語言表達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流行音樂文化與歌詞寫作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數位文化與文學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書法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華人社會與文化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文化撰述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女性文學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讀劇</w:t>
            </w:r>
            <w:proofErr w:type="gramEnd"/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閩南語概論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劇場設計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花蓮在地敘事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儒家思想與現代社會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戲劇行政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/1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戲劇製作</w:t>
            </w:r>
            <w:r w:rsidRPr="00AA55A2">
              <w:rPr>
                <w:rFonts w:ascii="標楷體" w:eastAsia="標楷體" w:hAnsi="標楷體"/>
                <w:sz w:val="18"/>
                <w:szCs w:val="18"/>
              </w:rPr>
              <w:t>/2</w:t>
            </w:r>
          </w:p>
        </w:tc>
        <w:tc>
          <w:tcPr>
            <w:tcW w:w="2608" w:type="dxa"/>
            <w:gridSpan w:val="2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</w:rPr>
              <w:t>文學傳播理論與實務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55A2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旅遊文學</w:t>
            </w:r>
            <w:r w:rsidRPr="00AA55A2">
              <w:rPr>
                <w:rFonts w:ascii="標楷體" w:eastAsia="標楷體" w:hAnsi="標楷體"/>
                <w:sz w:val="18"/>
                <w:szCs w:val="18"/>
                <w:lang w:eastAsia="zh-HK"/>
              </w:rPr>
              <w:t>/2</w:t>
            </w:r>
          </w:p>
        </w:tc>
        <w:tc>
          <w:tcPr>
            <w:tcW w:w="1304" w:type="dxa"/>
          </w:tcPr>
          <w:p w:rsidR="00EE2741" w:rsidRPr="00AA55A2" w:rsidRDefault="00EE2741" w:rsidP="005E530D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EE2741" w:rsidRDefault="00EE2741" w:rsidP="00EE274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畢業學分數128學分</w:t>
      </w:r>
    </w:p>
    <w:p w:rsidR="00EE2741" w:rsidRDefault="00EE2741" w:rsidP="00EE2741">
      <w:pPr>
        <w:rPr>
          <w:rFonts w:ascii="標楷體" w:eastAsia="標楷體" w:hAnsi="標楷體"/>
          <w:b/>
          <w:szCs w:val="24"/>
        </w:rPr>
      </w:pPr>
      <w:r w:rsidRPr="0063573F">
        <w:rPr>
          <w:rFonts w:ascii="標楷體" w:eastAsia="標楷體" w:hAnsi="標楷體" w:hint="eastAsia"/>
          <w:b/>
          <w:szCs w:val="24"/>
        </w:rPr>
        <w:t>中文組學生必修日文組課程</w:t>
      </w:r>
      <w:r w:rsidR="002222CF" w:rsidRPr="000C2060">
        <w:rPr>
          <w:rFonts w:ascii="標楷體" w:eastAsia="標楷體" w:hAnsi="標楷體" w:hint="eastAsia"/>
          <w:b/>
          <w:color w:val="000000" w:themeColor="text1"/>
          <w:szCs w:val="24"/>
        </w:rPr>
        <w:t>8</w:t>
      </w:r>
      <w:r w:rsidRPr="000C2060">
        <w:rPr>
          <w:rFonts w:ascii="標楷體" w:eastAsia="標楷體" w:hAnsi="標楷體" w:hint="eastAsia"/>
          <w:b/>
          <w:szCs w:val="24"/>
        </w:rPr>
        <w:t>學分(</w:t>
      </w:r>
      <w:proofErr w:type="gramStart"/>
      <w:r w:rsidRPr="000C2060">
        <w:rPr>
          <w:rFonts w:ascii="標楷體" w:eastAsia="標楷體" w:hAnsi="標楷體" w:hint="eastAsia"/>
          <w:b/>
          <w:szCs w:val="24"/>
        </w:rPr>
        <w:t>含本組</w:t>
      </w:r>
      <w:proofErr w:type="gramEnd"/>
      <w:r w:rsidRPr="000C2060">
        <w:rPr>
          <w:rFonts w:ascii="標楷體" w:eastAsia="標楷體" w:hAnsi="標楷體" w:hint="eastAsia"/>
          <w:b/>
          <w:szCs w:val="24"/>
        </w:rPr>
        <w:t>初級日語8學分)。</w:t>
      </w:r>
    </w:p>
    <w:p w:rsidR="00EE2741" w:rsidRDefault="00EE2741" w:rsidP="00EE274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以上課程通過10</w:t>
      </w:r>
      <w:r w:rsidR="002222CF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.</w:t>
      </w:r>
      <w:r w:rsidR="002222CF">
        <w:rPr>
          <w:rFonts w:ascii="標楷體" w:eastAsia="標楷體" w:hAnsi="標楷體" w:hint="eastAsia"/>
          <w:b/>
          <w:szCs w:val="24"/>
        </w:rPr>
        <w:t>3</w:t>
      </w:r>
      <w:r>
        <w:rPr>
          <w:rFonts w:ascii="標楷體" w:eastAsia="標楷體" w:hAnsi="標楷體" w:hint="eastAsia"/>
          <w:b/>
          <w:szCs w:val="24"/>
        </w:rPr>
        <w:t>.</w:t>
      </w:r>
      <w:r w:rsidR="000C2060">
        <w:rPr>
          <w:rFonts w:ascii="標楷體" w:eastAsia="標楷體" w:hAnsi="標楷體" w:hint="eastAsia"/>
          <w:b/>
          <w:szCs w:val="24"/>
        </w:rPr>
        <w:t>28</w:t>
      </w:r>
      <w:r>
        <w:rPr>
          <w:rFonts w:ascii="標楷體" w:eastAsia="標楷體" w:hAnsi="標楷體" w:hint="eastAsia"/>
          <w:b/>
          <w:szCs w:val="24"/>
        </w:rPr>
        <w:t>系課程會議</w:t>
      </w:r>
    </w:p>
    <w:p w:rsidR="00EE2741" w:rsidRPr="00EE2741" w:rsidRDefault="00EE2741"/>
    <w:sectPr w:rsidR="00EE2741" w:rsidRPr="00EE2741" w:rsidSect="00EE274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D5" w:rsidRDefault="00E618D5" w:rsidP="000C2060">
      <w:r>
        <w:separator/>
      </w:r>
    </w:p>
  </w:endnote>
  <w:endnote w:type="continuationSeparator" w:id="0">
    <w:p w:rsidR="00E618D5" w:rsidRDefault="00E618D5" w:rsidP="000C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D5" w:rsidRDefault="00E618D5" w:rsidP="000C2060">
      <w:r>
        <w:separator/>
      </w:r>
    </w:p>
  </w:footnote>
  <w:footnote w:type="continuationSeparator" w:id="0">
    <w:p w:rsidR="00E618D5" w:rsidRDefault="00E618D5" w:rsidP="000C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41"/>
    <w:rsid w:val="000C2060"/>
    <w:rsid w:val="002222CF"/>
    <w:rsid w:val="00D147B2"/>
    <w:rsid w:val="00DE0BE0"/>
    <w:rsid w:val="00E618D5"/>
    <w:rsid w:val="00ED74A8"/>
    <w:rsid w:val="00EE2741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0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janelin</dc:creator>
  <cp:lastModifiedBy>Windows 使用者</cp:lastModifiedBy>
  <cp:revision>2</cp:revision>
  <dcterms:created xsi:type="dcterms:W3CDTF">2018-07-04T06:30:00Z</dcterms:created>
  <dcterms:modified xsi:type="dcterms:W3CDTF">2018-07-04T06:30:00Z</dcterms:modified>
</cp:coreProperties>
</file>